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5bca1b8fea268fc4dd264aa3e597baddb1d62"/>
    <w:p>
      <w:pPr>
        <w:pStyle w:val="Heading3"/>
      </w:pPr>
      <w:r>
        <w:t xml:space="preserve">Встреча главы управы с членами Молодежной палатой Ломоносовского района</w:t>
      </w:r>
    </w:p>
    <w:p>
      <w:pPr>
        <w:pStyle w:val="FirstParagraph"/>
      </w:pPr>
      <w:r>
        <w:t xml:space="preserve">20.11.2024</w:t>
      </w:r>
    </w:p>
    <w:p>
      <w:pPr>
        <w:pStyle w:val="BodyText"/>
      </w:pPr>
      <w:r>
        <w:t xml:space="preserve">21 ноября 2024 года в Ломоносовском районе состоится встреча главы управы района с членами Молодежной палаты. На встрече обсудили важные вопросы, касающиеся деятельности палаты, а также участие парламентариев в предстоящих мероприятиях.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http://lomonosovsky.mos.ru/pressnews/detail/12675219.html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news/detail/12675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news/detail/12675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2025-07-27T08:04:52Z</dcterms:created>
  <dcterms:modified xsi:type="dcterms:W3CDTF">2025-07-27T08:04:52Z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