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d2c3ab60e482cada01a7a970a8722051e05c4b"/>
    <w:p>
      <w:pPr>
        <w:pStyle w:val="Heading3"/>
      </w:pPr>
      <w:r>
        <w:t xml:space="preserve">Более 511,3 тысячи семей Московского региона получили сертификаты на материнский капитал в проактивном формате</w:t>
      </w:r>
    </w:p>
    <w:p>
      <w:pPr>
        <w:pStyle w:val="FirstParagraph"/>
      </w:pPr>
      <w:r>
        <w:t xml:space="preserve">06.11.2024</w:t>
      </w:r>
    </w:p>
    <w:p>
      <w:pPr>
        <w:pStyle w:val="BodyText"/>
      </w:pPr>
      <w:r>
        <w:rPr>
          <w:iCs/>
          <w:i/>
        </w:rPr>
        <w:t xml:space="preserve">С середины апреля 2020 года граждане столицы и Московской области могут получить сертификат на материнский капитал проактивно. В таком формате Отделение СФР по Москве и Московской области выдало свыше 511,3 тысячи сертификатов за этот период.</w:t>
      </w:r>
    </w:p>
    <w:p>
      <w:pPr>
        <w:pStyle w:val="BodyText"/>
      </w:pPr>
      <w:r>
        <w:t xml:space="preserve">Беззаявительный формат предусматривает формирование электронного сертификата, который родитель получает в личный кабинет на портале госуслуг. После этого через кабинет можно подать заявление о распоряжении средствами и контролировать их остаток. У семьи, таким образом, есть возможность распорядиться средствами материнского капитала, не обращаясь в клиентские службы Отделения СФР по Москве и Московской области.</w:t>
      </w:r>
    </w:p>
    <w:p>
      <w:pPr>
        <w:pStyle w:val="BodyText"/>
      </w:pPr>
      <w:r>
        <w:t xml:space="preserve">«Проактивный формат государственных услуг осуществляется в соответствии с принципами социального казначейства, цель которого – ускорить процесс назначения мер социальной поддержки и сделать его максимально простым и удобным для граждан», – подчеркнул заместитель управляющего Отделением СФР по Москве и Московской области Алексей Путин.</w:t>
      </w:r>
    </w:p>
    <w:p>
      <w:pPr>
        <w:pStyle w:val="BodyText"/>
      </w:pPr>
      <w:r>
        <w:t xml:space="preserve">С текущего года получить капитал может родитель, у которого есть гражданство Российской Федерации на момент рождения или усыновления ребенка. У ребенка также должно быть российское гражданство.</w:t>
      </w:r>
    </w:p>
    <w:p>
      <w:pPr>
        <w:pStyle w:val="BodyText"/>
      </w:pPr>
      <w:r>
        <w:t xml:space="preserve">Размер материнского капитала ежегодно индексируется. Для семей, в которых после 1 января 2020 года родился или был усыновлен первый ребенок, размер маткапитала составляет почти 630,4 тысячи рублей. В случае рождения или усыновления второго ребенка им положена доплата – 202,6 тысячи рублей. Для родителей, у которых после 1 января 2020 года родился или был усыновлен второй или последующий ребенок (если ранее право на маткапитал не возникало) размер капитала составляет 833 тысяч рублей.</w:t>
      </w:r>
    </w:p>
    <w:p>
      <w:pPr>
        <w:pStyle w:val="BodyText"/>
      </w:pPr>
      <w:r>
        <w:t xml:space="preserve">Средства материнского капитала можно направить по пяти направлениям. Это:</w:t>
      </w:r>
    </w:p>
    <w:p>
      <w:pPr>
        <w:pStyle w:val="BodyText"/>
      </w:pPr>
      <w:r>
        <w:t xml:space="preserve">· улучшение жилищных условий;</w:t>
      </w:r>
    </w:p>
    <w:p>
      <w:pPr>
        <w:pStyle w:val="BodyText"/>
      </w:pPr>
      <w:r>
        <w:t xml:space="preserve">· ежемесячная выплата;</w:t>
      </w:r>
    </w:p>
    <w:p>
      <w:pPr>
        <w:pStyle w:val="BodyText"/>
      </w:pPr>
      <w:r>
        <w:t xml:space="preserve">· образование детей,</w:t>
      </w:r>
    </w:p>
    <w:p>
      <w:pPr>
        <w:pStyle w:val="BodyText"/>
      </w:pPr>
      <w:r>
        <w:t xml:space="preserve">· реабилитация детей с инвалидностью;</w:t>
      </w:r>
    </w:p>
    <w:p>
      <w:pPr>
        <w:pStyle w:val="BodyText"/>
      </w:pPr>
      <w:r>
        <w:t xml:space="preserve">· накопительная пенсию одного из родителей.</w:t>
      </w:r>
    </w:p>
    <w:p>
      <w:pPr>
        <w:pStyle w:val="BodyText"/>
      </w:pPr>
      <w:r>
        <w:rPr>
          <w:iCs/>
          <w:i/>
        </w:rPr>
        <w:t xml:space="preserve">Если у вас остались вопросы, вы всегда можете обратиться в единый контакт-центр по взаимодействию с гражданами по телефону: 8 (800)100-00-01 (звонок бесплатный).</w:t>
      </w:r>
    </w:p>
    <w:p>
      <w:pPr>
        <w:pStyle w:val="BodyText"/>
      </w:pPr>
      <w:r>
        <w:t xml:space="preserve">Отделение СФР по Москве и Московской области в социальных сетях:</w:t>
      </w:r>
    </w:p>
    <w:p>
      <w:pPr>
        <w:pStyle w:val="BodyText"/>
      </w:pPr>
      <w:r>
        <w:rPr>
          <w:iCs/>
          <w:i/>
        </w:rPr>
        <w:t xml:space="preserve">ВКонтакте –</w:t>
      </w:r>
      <w:r>
        <w:t xml:space="preserve"> </w:t>
      </w:r>
      <w:hyperlink r:id="rId20">
        <w:r>
          <w:rPr>
            <w:rStyle w:val="Hyperlink"/>
          </w:rPr>
          <w:t xml:space="preserve">https://vk.com/sfr.moskva.i.moskovskaya.oblast</w:t>
        </w:r>
      </w:hyperlink>
      <w:r>
        <w:t xml:space="preserve">;</w:t>
      </w:r>
    </w:p>
    <w:p>
      <w:pPr>
        <w:pStyle w:val="BodyText"/>
      </w:pPr>
      <w:r>
        <w:rPr>
          <w:iCs/>
          <w:i/>
        </w:rPr>
        <w:t xml:space="preserve">Одноклассники –</w:t>
      </w:r>
      <w:r>
        <w:t xml:space="preserve"> </w:t>
      </w:r>
      <w:hyperlink r:id="rId21">
        <w:r>
          <w:rPr>
            <w:rStyle w:val="Hyperlink"/>
          </w:rPr>
          <w:t xml:space="preserve">https://ok.ru/sfr.msk.i.moskobl</w:t>
        </w:r>
      </w:hyperlink>
      <w:r>
        <w:t xml:space="preserve">;</w:t>
      </w:r>
    </w:p>
    <w:p>
      <w:pPr>
        <w:pStyle w:val="BodyText"/>
      </w:pPr>
      <w:r>
        <w:rPr>
          <w:iCs/>
          <w:i/>
        </w:rPr>
        <w:t xml:space="preserve">Телеграм –</w:t>
      </w:r>
      <w:r>
        <w:t xml:space="preserve"> </w:t>
      </w:r>
      <w:hyperlink r:id="rId22">
        <w:r>
          <w:rPr>
            <w:rStyle w:val="Hyperlink"/>
          </w:rPr>
          <w:t xml:space="preserve">https://t.me/sfr_moskva_i_moskovskayaoblast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http://lomonosovsky.mos.ru/pressnews/detail/12648707.html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lomonosovsky.mos.ru" TargetMode="External" /><Relationship Type="http://schemas.openxmlformats.org/officeDocument/2006/relationships/hyperlink" Id="rId23" Target="http://lomonosovsky.mos.ru/pressnews/detail/12648707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lomonosovsky.mos.ru" TargetMode="External" /><Relationship Type="http://schemas.openxmlformats.org/officeDocument/2006/relationships/hyperlink" Id="rId23" Target="http://lomonosovsky.mos.ru/pressnews/detail/12648707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2025-02-16T00:33:20Z</dcterms:created>
  <dcterms:modified xsi:type="dcterms:W3CDTF">2025-02-16T00:33:20Z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