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291477c806c380cc8403ab3af51377791e3e9"/>
    <w:p>
      <w:pPr>
        <w:pStyle w:val="Heading3"/>
      </w:pPr>
      <w:r>
        <w:t xml:space="preserve">Итоги круглого стола «Противодействие пропаганде терроризма среди мигрантов»</w:t>
      </w:r>
    </w:p>
    <w:p>
      <w:pPr>
        <w:pStyle w:val="FirstParagraph"/>
      </w:pPr>
      <w:r>
        <w:t xml:space="preserve">08.07.2019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https://www.mos.ru/drbez/documents/antiterroristicheskaya-komissiya-goroda-moskvyi/view/225126220/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http://lomonosovsky.mos.ru/bezopasnost/antiterror/detail/8204638.html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bezopasnost/antiterror/detail/8204638.html" TargetMode="External" /><Relationship Type="http://schemas.openxmlformats.org/officeDocument/2006/relationships/hyperlink" Id="rId20" Target="https://www.mos.ru/drbez/documents/antiterroristicheskaya-komissiya-goroda-moskvyi/view/22512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bezopasnost/antiterror/detail/8204638.html" TargetMode="External" /><Relationship Type="http://schemas.openxmlformats.org/officeDocument/2006/relationships/hyperlink" Id="rId20" Target="https://www.mos.ru/drbez/documents/antiterroristicheskaya-komissiya-goroda-moskvyi/view/22512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2024-10-31T04:41:28Z</dcterms:created>
  <dcterms:modified xsi:type="dcterms:W3CDTF">2024-10-31T04:41:28Z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