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900bd9c35a13550722a2662b4a9c050ecb870"/>
    <w:p>
      <w:pPr>
        <w:pStyle w:val="Heading3"/>
      </w:pPr>
      <w:r>
        <w:t xml:space="preserve">Информационный ролик, посвященный Дню солидарности в борьбе с терроризмом.</w:t>
      </w:r>
    </w:p>
    <w:p>
      <w:pPr>
        <w:pStyle w:val="FirstParagraph"/>
      </w:pPr>
      <w:r>
        <w:t xml:space="preserve">09.08.2022</w:t>
      </w:r>
    </w:p>
    <w:bookmarkEnd w:id="20"/>
    <w:bookmarkStart w:id="23" w:name="X2c20d0648b750e23aecf2ab365e9a74b2046c32"/>
    <w:p>
      <w:pPr>
        <w:pStyle w:val="Heading3"/>
      </w:pPr>
      <w:r>
        <w:t xml:space="preserve">Информационный видеоролик, посвященный Дню солидарности в борьбе с терроризмом.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http://lomonosovsky.mos.ru/bezopasnost/antiterror/detail/10983115.html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bezopasnost/antiterror/detail/109831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bezopasnost/antiterror/detail/109831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2025-06-10T11:03:31Z</dcterms:created>
  <dcterms:modified xsi:type="dcterms:W3CDTF">2025-06-10T11:03:31Z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